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56B7" w14:textId="77777777" w:rsidR="00227DFB" w:rsidRDefault="00227DFB" w:rsidP="00227DF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</w:pPr>
    </w:p>
    <w:p w14:paraId="72AB5304" w14:textId="77777777" w:rsidR="00227DFB" w:rsidRDefault="00227DFB" w:rsidP="00227DF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</w:pPr>
      <w:r>
        <w:rPr>
          <w:noProof/>
        </w:rPr>
        <w:drawing>
          <wp:inline distT="0" distB="0" distL="0" distR="0" wp14:anchorId="63A51D9B" wp14:editId="506DAA8F">
            <wp:extent cx="2133600" cy="1130151"/>
            <wp:effectExtent l="0" t="0" r="0" b="0"/>
            <wp:docPr id="4" name="Picture 4" descr="Image result for vilniaus verslo koleg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ilniaus verslo koleg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92" cy="114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CA48F" w14:textId="77777777" w:rsidR="00227DFB" w:rsidRDefault="00227DFB" w:rsidP="00227DFB">
      <w:pPr>
        <w:rPr>
          <w:lang w:eastAsia="lt-LT"/>
        </w:rPr>
      </w:pPr>
    </w:p>
    <w:p w14:paraId="6161CF33" w14:textId="77777777" w:rsidR="00227DFB" w:rsidRDefault="00227DFB" w:rsidP="00227DFB">
      <w:pPr>
        <w:rPr>
          <w:lang w:eastAsia="lt-LT"/>
        </w:rPr>
      </w:pPr>
    </w:p>
    <w:p w14:paraId="0056BBC9" w14:textId="77777777" w:rsidR="00227DFB" w:rsidRDefault="00227DFB" w:rsidP="00227DFB">
      <w:pPr>
        <w:rPr>
          <w:lang w:eastAsia="lt-LT"/>
        </w:rPr>
      </w:pPr>
    </w:p>
    <w:p w14:paraId="1A6EC2D9" w14:textId="77777777" w:rsidR="00227DFB" w:rsidRDefault="00227DFB" w:rsidP="00227DFB">
      <w:pPr>
        <w:rPr>
          <w:lang w:eastAsia="lt-LT"/>
        </w:rPr>
      </w:pPr>
    </w:p>
    <w:p w14:paraId="2635B47C" w14:textId="77777777" w:rsidR="00227DFB" w:rsidRDefault="00227DFB" w:rsidP="00227DFB">
      <w:pPr>
        <w:rPr>
          <w:lang w:eastAsia="lt-LT"/>
        </w:rPr>
      </w:pPr>
    </w:p>
    <w:p w14:paraId="7559BCFC" w14:textId="77777777" w:rsidR="00227DFB" w:rsidRDefault="00227DFB" w:rsidP="00227DFB">
      <w:pPr>
        <w:rPr>
          <w:lang w:eastAsia="lt-LT"/>
        </w:rPr>
      </w:pPr>
    </w:p>
    <w:p w14:paraId="0EB40DF4" w14:textId="77777777" w:rsidR="00227DFB" w:rsidRDefault="00227DFB" w:rsidP="00227DF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t-LT"/>
        </w:rPr>
      </w:pPr>
    </w:p>
    <w:p w14:paraId="2C880D9A" w14:textId="77777777" w:rsidR="00227DFB" w:rsidRPr="0007351A" w:rsidRDefault="00227DFB" w:rsidP="00227DFB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lt-LT"/>
        </w:rPr>
      </w:pPr>
      <w:r w:rsidRPr="0007351A">
        <w:rPr>
          <w:rFonts w:ascii="Times New Roman" w:hAnsi="Times New Roman" w:cs="Times New Roman"/>
          <w:b/>
          <w:bCs/>
          <w:sz w:val="32"/>
          <w:szCs w:val="32"/>
          <w:lang w:eastAsia="lt-LT"/>
        </w:rPr>
        <w:t>VšĮ VILNIAUS VERSLO KOLEGIJOS ABSOLVENTŲ</w:t>
      </w:r>
    </w:p>
    <w:p w14:paraId="7A7E9D1E" w14:textId="2C005E62" w:rsidR="00227DFB" w:rsidRPr="0007351A" w:rsidRDefault="00227DFB" w:rsidP="00227DFB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lt-LT"/>
        </w:rPr>
      </w:pPr>
      <w:r w:rsidRPr="0007351A">
        <w:rPr>
          <w:rFonts w:ascii="Times New Roman" w:hAnsi="Times New Roman" w:cs="Times New Roman"/>
          <w:b/>
          <w:bCs/>
          <w:sz w:val="32"/>
          <w:szCs w:val="32"/>
          <w:lang w:eastAsia="lt-LT"/>
        </w:rPr>
        <w:t>APKLAUSA</w:t>
      </w:r>
      <w:r w:rsidR="004E0D9A">
        <w:rPr>
          <w:rFonts w:ascii="Times New Roman" w:hAnsi="Times New Roman" w:cs="Times New Roman"/>
          <w:b/>
          <w:bCs/>
          <w:sz w:val="32"/>
          <w:szCs w:val="32"/>
          <w:lang w:eastAsia="lt-LT"/>
        </w:rPr>
        <w:t xml:space="preserve"> </w:t>
      </w:r>
      <w:r w:rsidRPr="0007351A">
        <w:rPr>
          <w:rFonts w:ascii="Times New Roman" w:hAnsi="Times New Roman" w:cs="Times New Roman"/>
          <w:b/>
          <w:bCs/>
          <w:sz w:val="32"/>
          <w:szCs w:val="32"/>
          <w:lang w:eastAsia="lt-LT"/>
        </w:rPr>
        <w:t>–</w:t>
      </w:r>
      <w:r w:rsidR="004E0D9A">
        <w:rPr>
          <w:rFonts w:ascii="Times New Roman" w:hAnsi="Times New Roman" w:cs="Times New Roman"/>
          <w:b/>
          <w:bCs/>
          <w:sz w:val="32"/>
          <w:szCs w:val="32"/>
          <w:lang w:eastAsia="lt-LT"/>
        </w:rPr>
        <w:t xml:space="preserve"> </w:t>
      </w:r>
      <w:r w:rsidRPr="0007351A">
        <w:rPr>
          <w:rFonts w:ascii="Times New Roman" w:hAnsi="Times New Roman" w:cs="Times New Roman"/>
          <w:b/>
          <w:bCs/>
          <w:sz w:val="32"/>
          <w:szCs w:val="32"/>
          <w:lang w:eastAsia="lt-LT"/>
        </w:rPr>
        <w:t>2020</w:t>
      </w:r>
    </w:p>
    <w:p w14:paraId="665E6F5F" w14:textId="77777777" w:rsidR="00227DFB" w:rsidRPr="00B171BE" w:rsidRDefault="00227DFB" w:rsidP="00227DF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48"/>
          <w:lang w:eastAsia="lt-LT"/>
        </w:rPr>
      </w:pPr>
    </w:p>
    <w:p w14:paraId="4FE389DE" w14:textId="4116795B" w:rsidR="00227DFB" w:rsidRPr="0007351A" w:rsidRDefault="00227DFB" w:rsidP="00227DFB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lt-LT"/>
        </w:rPr>
      </w:pPr>
      <w:r w:rsidRPr="0007351A">
        <w:rPr>
          <w:rFonts w:ascii="Times New Roman" w:hAnsi="Times New Roman" w:cs="Times New Roman"/>
          <w:b/>
          <w:bCs/>
          <w:sz w:val="32"/>
          <w:szCs w:val="32"/>
          <w:lang w:eastAsia="lt-LT"/>
        </w:rPr>
        <w:t>REZULTATŲ ANALIZĖ</w:t>
      </w:r>
      <w:r>
        <w:rPr>
          <w:rFonts w:ascii="Times New Roman" w:hAnsi="Times New Roman" w:cs="Times New Roman"/>
          <w:b/>
          <w:bCs/>
          <w:sz w:val="32"/>
          <w:szCs w:val="32"/>
          <w:lang w:eastAsia="lt-LT"/>
        </w:rPr>
        <w:t xml:space="preserve"> - APIBENDRINIMAS</w:t>
      </w:r>
    </w:p>
    <w:p w14:paraId="672CFB3D" w14:textId="77777777" w:rsidR="00227DFB" w:rsidRDefault="00227DFB" w:rsidP="00227DF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3AF3B16" w14:textId="77777777" w:rsidR="00227DFB" w:rsidRDefault="00227DFB" w:rsidP="00227DF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47A925C" w14:textId="77777777" w:rsidR="00227DFB" w:rsidRDefault="00227DFB" w:rsidP="00227DF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D4DA551" w14:textId="77777777" w:rsidR="00227DFB" w:rsidRDefault="00227DFB" w:rsidP="00227DF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6CC02B9" w14:textId="77777777" w:rsidR="00227DFB" w:rsidRDefault="00227DFB" w:rsidP="00227DF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B913511" w14:textId="77777777" w:rsidR="00227DFB" w:rsidRDefault="00227DFB" w:rsidP="00227DF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CADC06A" w14:textId="77777777" w:rsidR="00227DFB" w:rsidRDefault="00227DFB" w:rsidP="00227DF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0BB8A48" w14:textId="77777777" w:rsidR="00227DFB" w:rsidRDefault="00227DFB" w:rsidP="00227DF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5B4DC07" w14:textId="77777777" w:rsidR="00227DFB" w:rsidRDefault="00227DFB" w:rsidP="00227DF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669B349" w14:textId="77777777" w:rsidR="00227DFB" w:rsidRDefault="00227DFB" w:rsidP="00227DF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00FE0F2" w14:textId="77777777" w:rsidR="00227DFB" w:rsidRDefault="00227DFB" w:rsidP="00227DF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C356D31" w14:textId="77777777" w:rsidR="00227DFB" w:rsidRDefault="00227DFB" w:rsidP="00227DF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8AAE35D" w14:textId="77777777" w:rsidR="00227DFB" w:rsidRDefault="00227DFB" w:rsidP="00227DF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EE15CA6" w14:textId="7A3EE098" w:rsidR="00227DFB" w:rsidRDefault="00227DFB" w:rsidP="00227DF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4E0D9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m.  </w:t>
      </w:r>
    </w:p>
    <w:p w14:paraId="16AC1B6F" w14:textId="77777777" w:rsidR="00227DFB" w:rsidRDefault="00227DFB" w:rsidP="00227DF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Vilnius</w:t>
      </w:r>
    </w:p>
    <w:p w14:paraId="4BC2850C" w14:textId="7316889E" w:rsidR="00AC5B13" w:rsidRDefault="00AC5B13"/>
    <w:p w14:paraId="7E879650" w14:textId="77777777" w:rsidR="00227DFB" w:rsidRPr="009701BD" w:rsidRDefault="00227DFB" w:rsidP="00227DF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701BD">
        <w:rPr>
          <w:rFonts w:ascii="Times New Roman" w:hAnsi="Times New Roman" w:cs="Times New Roman"/>
          <w:b/>
          <w:sz w:val="24"/>
        </w:rPr>
        <w:lastRenderedPageBreak/>
        <w:t>Apklausos organizatorius</w:t>
      </w:r>
      <w:r w:rsidRPr="009701BD">
        <w:rPr>
          <w:rFonts w:ascii="Times New Roman" w:hAnsi="Times New Roman" w:cs="Times New Roman"/>
          <w:sz w:val="24"/>
        </w:rPr>
        <w:t>: VšĮ Vilniaus verslo kolegija</w:t>
      </w:r>
    </w:p>
    <w:p w14:paraId="3771E897" w14:textId="2A63C5C5" w:rsidR="004E0D9A" w:rsidRPr="004E0D9A" w:rsidRDefault="00227DFB" w:rsidP="004E0D9A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</w:rPr>
      </w:pPr>
      <w:r w:rsidRPr="009701BD">
        <w:rPr>
          <w:rFonts w:ascii="Times New Roman" w:hAnsi="Times New Roman" w:cs="Times New Roman"/>
          <w:b/>
          <w:sz w:val="24"/>
        </w:rPr>
        <w:t>Apklausos vykdymo vadovas</w:t>
      </w:r>
      <w:r w:rsidRPr="009701B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Komunikacijos ir tarptautinių ryšių skyriaus vadovas Mantas Barkauskas</w:t>
      </w:r>
      <w:r w:rsidRPr="009701BD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VšĮ </w:t>
      </w:r>
      <w:r w:rsidRPr="009701BD">
        <w:rPr>
          <w:rFonts w:ascii="Times New Roman" w:hAnsi="Times New Roman" w:cs="Times New Roman"/>
          <w:sz w:val="24"/>
        </w:rPr>
        <w:t>Vilniaus verslo kolegija)</w:t>
      </w:r>
    </w:p>
    <w:p w14:paraId="27F4BB0E" w14:textId="77777777" w:rsidR="004E0D9A" w:rsidRDefault="004E0D9A" w:rsidP="004E0D9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72B8C586" w14:textId="77777777" w:rsidR="004E0D9A" w:rsidRPr="0025238F" w:rsidRDefault="004E0D9A" w:rsidP="004E0D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9B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A79B3">
        <w:rPr>
          <w:rFonts w:ascii="Times New Roman" w:hAnsi="Times New Roman" w:cs="Times New Roman"/>
          <w:b/>
          <w:bCs/>
          <w:sz w:val="24"/>
          <w:szCs w:val="24"/>
        </w:rPr>
        <w:t xml:space="preserve"> m.</w:t>
      </w:r>
      <w:r w:rsidRPr="00BA79B3">
        <w:rPr>
          <w:rFonts w:ascii="Times New Roman" w:hAnsi="Times New Roman" w:cs="Times New Roman"/>
          <w:sz w:val="24"/>
          <w:szCs w:val="24"/>
        </w:rPr>
        <w:t xml:space="preserve"> Kolegiją baigė </w:t>
      </w:r>
      <w:r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Pr="00BA7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9B3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BA79B3">
        <w:rPr>
          <w:rFonts w:ascii="Times New Roman" w:hAnsi="Times New Roman" w:cs="Times New Roman"/>
          <w:sz w:val="24"/>
          <w:szCs w:val="24"/>
        </w:rPr>
        <w:t>, iš</w:t>
      </w:r>
      <w:r>
        <w:rPr>
          <w:rFonts w:ascii="Times New Roman" w:hAnsi="Times New Roman" w:cs="Times New Roman"/>
          <w:sz w:val="24"/>
          <w:szCs w:val="24"/>
        </w:rPr>
        <w:t xml:space="preserve"> jų apklausoje dalyvavo 34</w:t>
      </w:r>
      <w:r w:rsidRPr="0025238F">
        <w:rPr>
          <w:rFonts w:ascii="Times New Roman" w:hAnsi="Times New Roman" w:cs="Times New Roman"/>
          <w:sz w:val="24"/>
          <w:szCs w:val="24"/>
        </w:rPr>
        <w:t>:</w:t>
      </w:r>
    </w:p>
    <w:p w14:paraId="357EA3C9" w14:textId="77777777" w:rsidR="004E0D9A" w:rsidRPr="008B23AC" w:rsidRDefault="004E0D9A" w:rsidP="004E0D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AC">
        <w:rPr>
          <w:rFonts w:ascii="Times New Roman" w:eastAsia="Times New Roman" w:hAnsi="Times New Roman" w:cs="Times New Roman"/>
          <w:lang w:eastAsia="lt-LT"/>
        </w:rPr>
        <w:t xml:space="preserve">Anglų kalba </w:t>
      </w:r>
      <w:r>
        <w:rPr>
          <w:rFonts w:ascii="Times New Roman" w:eastAsia="Times New Roman" w:hAnsi="Times New Roman" w:cs="Times New Roman"/>
          <w:lang w:eastAsia="lt-LT"/>
        </w:rPr>
        <w:t>ir tarptautinė komunikacija</w:t>
      </w:r>
      <w:r w:rsidRPr="008B23AC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8B23AC">
        <w:rPr>
          <w:rFonts w:ascii="Times New Roman" w:hAnsi="Times New Roman" w:cs="Times New Roman"/>
          <w:szCs w:val="20"/>
        </w:rPr>
        <w:t>(N=</w:t>
      </w:r>
      <w:r>
        <w:rPr>
          <w:rFonts w:ascii="Times New Roman" w:hAnsi="Times New Roman" w:cs="Times New Roman"/>
          <w:szCs w:val="20"/>
        </w:rPr>
        <w:t>1</w:t>
      </w:r>
      <w:r w:rsidRPr="008B23AC">
        <w:rPr>
          <w:rFonts w:ascii="Times New Roman" w:hAnsi="Times New Roman" w:cs="Times New Roman"/>
          <w:szCs w:val="20"/>
        </w:rPr>
        <w:t>).</w:t>
      </w:r>
    </w:p>
    <w:p w14:paraId="565E2478" w14:textId="77777777" w:rsidR="004E0D9A" w:rsidRPr="008B23AC" w:rsidRDefault="004E0D9A" w:rsidP="004E0D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lt-LT"/>
        </w:rPr>
        <w:t>Interaktyvios medijos ir</w:t>
      </w:r>
      <w:r w:rsidRPr="008B23AC">
        <w:rPr>
          <w:rFonts w:ascii="Times New Roman" w:eastAsia="Times New Roman" w:hAnsi="Times New Roman" w:cs="Times New Roman"/>
          <w:lang w:eastAsia="lt-LT"/>
        </w:rPr>
        <w:t xml:space="preserve"> technologijos </w:t>
      </w:r>
      <w:r w:rsidRPr="008B23AC">
        <w:rPr>
          <w:rFonts w:ascii="Times New Roman" w:hAnsi="Times New Roman" w:cs="Times New Roman"/>
          <w:szCs w:val="20"/>
        </w:rPr>
        <w:t>(N=</w:t>
      </w:r>
      <w:r>
        <w:rPr>
          <w:rFonts w:ascii="Times New Roman" w:hAnsi="Times New Roman" w:cs="Times New Roman"/>
          <w:szCs w:val="20"/>
        </w:rPr>
        <w:t>5</w:t>
      </w:r>
      <w:r w:rsidRPr="008B23AC">
        <w:rPr>
          <w:rFonts w:ascii="Times New Roman" w:hAnsi="Times New Roman" w:cs="Times New Roman"/>
          <w:szCs w:val="20"/>
        </w:rPr>
        <w:t xml:space="preserve">). </w:t>
      </w:r>
    </w:p>
    <w:p w14:paraId="74A9F040" w14:textId="77777777" w:rsidR="004E0D9A" w:rsidRPr="008B23AC" w:rsidRDefault="004E0D9A" w:rsidP="004E0D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AC">
        <w:rPr>
          <w:rFonts w:ascii="Times New Roman" w:eastAsia="Times New Roman" w:hAnsi="Times New Roman" w:cs="Times New Roman"/>
          <w:lang w:eastAsia="lt-LT"/>
        </w:rPr>
        <w:t xml:space="preserve">Žaidimų kūrimas - </w:t>
      </w:r>
      <w:r w:rsidRPr="008B23AC">
        <w:rPr>
          <w:rFonts w:ascii="Times New Roman" w:hAnsi="Times New Roman" w:cs="Times New Roman"/>
          <w:szCs w:val="20"/>
        </w:rPr>
        <w:t>(N=</w:t>
      </w:r>
      <w:r>
        <w:rPr>
          <w:rFonts w:ascii="Times New Roman" w:hAnsi="Times New Roman" w:cs="Times New Roman"/>
          <w:szCs w:val="20"/>
        </w:rPr>
        <w:t>2</w:t>
      </w:r>
      <w:r w:rsidRPr="008B23AC">
        <w:rPr>
          <w:rFonts w:ascii="Times New Roman" w:hAnsi="Times New Roman" w:cs="Times New Roman"/>
          <w:szCs w:val="20"/>
        </w:rPr>
        <w:t>).</w:t>
      </w:r>
    </w:p>
    <w:p w14:paraId="3672AD3A" w14:textId="77777777" w:rsidR="004E0D9A" w:rsidRPr="008B23AC" w:rsidRDefault="004E0D9A" w:rsidP="004E0D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lt-LT"/>
        </w:rPr>
        <w:t>Programavimas ir internetinės technologijos</w:t>
      </w:r>
      <w:r w:rsidRPr="008B23AC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8B23AC">
        <w:rPr>
          <w:rFonts w:ascii="Times New Roman" w:hAnsi="Times New Roman" w:cs="Times New Roman"/>
          <w:szCs w:val="20"/>
        </w:rPr>
        <w:t>(N=</w:t>
      </w:r>
      <w:r>
        <w:rPr>
          <w:rFonts w:ascii="Times New Roman" w:hAnsi="Times New Roman" w:cs="Times New Roman"/>
          <w:szCs w:val="20"/>
        </w:rPr>
        <w:t>7</w:t>
      </w:r>
      <w:r w:rsidRPr="008B23AC">
        <w:rPr>
          <w:rFonts w:ascii="Times New Roman" w:hAnsi="Times New Roman" w:cs="Times New Roman"/>
          <w:szCs w:val="20"/>
        </w:rPr>
        <w:t>).</w:t>
      </w:r>
    </w:p>
    <w:p w14:paraId="686C6C26" w14:textId="77777777" w:rsidR="004E0D9A" w:rsidRPr="008B23AC" w:rsidRDefault="004E0D9A" w:rsidP="004E0D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AC">
        <w:rPr>
          <w:rFonts w:ascii="Times New Roman" w:eastAsia="Times New Roman" w:hAnsi="Times New Roman" w:cs="Times New Roman"/>
          <w:lang w:eastAsia="lt-LT"/>
        </w:rPr>
        <w:t xml:space="preserve">Turizmas ir renginiai - </w:t>
      </w:r>
      <w:r w:rsidRPr="008B23AC">
        <w:rPr>
          <w:rFonts w:ascii="Times New Roman" w:hAnsi="Times New Roman" w:cs="Times New Roman"/>
          <w:szCs w:val="20"/>
        </w:rPr>
        <w:t>(N=</w:t>
      </w:r>
      <w:r>
        <w:rPr>
          <w:rFonts w:ascii="Times New Roman" w:hAnsi="Times New Roman" w:cs="Times New Roman"/>
          <w:szCs w:val="20"/>
        </w:rPr>
        <w:t>5</w:t>
      </w:r>
      <w:r w:rsidRPr="008B23AC">
        <w:rPr>
          <w:rFonts w:ascii="Times New Roman" w:hAnsi="Times New Roman" w:cs="Times New Roman"/>
          <w:szCs w:val="20"/>
        </w:rPr>
        <w:t>).</w:t>
      </w:r>
    </w:p>
    <w:p w14:paraId="227DE518" w14:textId="77777777" w:rsidR="004E0D9A" w:rsidRPr="008B23AC" w:rsidRDefault="004E0D9A" w:rsidP="004E0D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AC">
        <w:rPr>
          <w:rFonts w:ascii="Times New Roman" w:eastAsia="Times New Roman" w:hAnsi="Times New Roman" w:cs="Times New Roman"/>
          <w:lang w:eastAsia="lt-LT"/>
        </w:rPr>
        <w:t xml:space="preserve">Logistikos verslas - </w:t>
      </w:r>
      <w:r w:rsidRPr="008B23AC">
        <w:rPr>
          <w:rFonts w:ascii="Times New Roman" w:hAnsi="Times New Roman" w:cs="Times New Roman"/>
          <w:szCs w:val="20"/>
        </w:rPr>
        <w:t>(N=</w:t>
      </w:r>
      <w:r>
        <w:rPr>
          <w:rFonts w:ascii="Times New Roman" w:hAnsi="Times New Roman" w:cs="Times New Roman"/>
          <w:szCs w:val="20"/>
        </w:rPr>
        <w:t>8</w:t>
      </w:r>
      <w:r w:rsidRPr="008B23AC">
        <w:rPr>
          <w:rFonts w:ascii="Times New Roman" w:hAnsi="Times New Roman" w:cs="Times New Roman"/>
          <w:szCs w:val="20"/>
        </w:rPr>
        <w:t xml:space="preserve">). </w:t>
      </w:r>
    </w:p>
    <w:p w14:paraId="52CA83CA" w14:textId="77777777" w:rsidR="004E0D9A" w:rsidRPr="008B23AC" w:rsidRDefault="004E0D9A" w:rsidP="004E0D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3AC">
        <w:rPr>
          <w:rFonts w:ascii="Times New Roman" w:eastAsia="Times New Roman" w:hAnsi="Times New Roman" w:cs="Times New Roman"/>
          <w:lang w:eastAsia="lt-LT"/>
        </w:rPr>
        <w:t xml:space="preserve">Verslo vadyba ir marketingas </w:t>
      </w:r>
      <w:r w:rsidRPr="008B23AC">
        <w:rPr>
          <w:rFonts w:ascii="Times New Roman" w:hAnsi="Times New Roman" w:cs="Times New Roman"/>
          <w:szCs w:val="20"/>
        </w:rPr>
        <w:t>(N=</w:t>
      </w:r>
      <w:r>
        <w:rPr>
          <w:rFonts w:ascii="Times New Roman" w:hAnsi="Times New Roman" w:cs="Times New Roman"/>
          <w:szCs w:val="20"/>
        </w:rPr>
        <w:t>6</w:t>
      </w:r>
      <w:r w:rsidRPr="008B23AC">
        <w:rPr>
          <w:rFonts w:ascii="Times New Roman" w:hAnsi="Times New Roman" w:cs="Times New Roman"/>
          <w:szCs w:val="20"/>
        </w:rPr>
        <w:t xml:space="preserve">). </w:t>
      </w:r>
    </w:p>
    <w:p w14:paraId="3E2EAD75" w14:textId="77777777" w:rsidR="004E0D9A" w:rsidRDefault="004E0D9A" w:rsidP="004E0D9A">
      <w:pPr>
        <w:rPr>
          <w:rFonts w:ascii="Times New Roman" w:hAnsi="Times New Roman" w:cs="Times New Roman"/>
          <w:b/>
          <w:bCs/>
        </w:rPr>
      </w:pPr>
    </w:p>
    <w:p w14:paraId="1FC12983" w14:textId="77777777" w:rsidR="004E0D9A" w:rsidRPr="00E21E7E" w:rsidRDefault="004E0D9A" w:rsidP="004E0D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Didžioji dalis absolventų atstovauja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Logistikos ir verslo</w:t>
      </w:r>
      <w:r w:rsidRPr="00E21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studijų programą (atitinkamai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E21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taip pat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Programavimą ir internetines technologijas</w:t>
      </w:r>
      <w:r w:rsidRPr="00E21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E21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bei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Verslo vadybą ir marketingą</w:t>
      </w:r>
      <w:r w:rsidRPr="00E21E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E21E7E">
        <w:rPr>
          <w:rFonts w:ascii="Times New Roman" w:eastAsia="Times New Roman" w:hAnsi="Times New Roman" w:cs="Times New Roman"/>
          <w:sz w:val="24"/>
          <w:szCs w:val="24"/>
          <w:lang w:eastAsia="lt-LT"/>
        </w:rPr>
        <w:t>) drauge su Turizmu ir renginiais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21E7E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5) ir Interaktyviomis medijomis ir technologijomis. Geografinis dalyvių pasiskirstymas rodo ganėtinai įvairų šalies regioninį atstovavimą – nuo Vilniaus iki Klaipėdos, Kėdainių ar Telšių. Be to, keli absolventai gyvena užsienio šalyse.</w:t>
      </w:r>
    </w:p>
    <w:p w14:paraId="50624F6B" w14:textId="77777777" w:rsidR="004E0D9A" w:rsidRDefault="004E0D9A" w:rsidP="004E0D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DAAFD" w14:textId="77777777" w:rsidR="004E0D9A" w:rsidRPr="00FC2F91" w:rsidRDefault="004E0D9A" w:rsidP="004E0D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F91">
        <w:rPr>
          <w:rFonts w:ascii="Times New Roman" w:hAnsi="Times New Roman" w:cs="Times New Roman"/>
          <w:sz w:val="24"/>
          <w:szCs w:val="24"/>
        </w:rPr>
        <w:t>Po Kolegijos baigimo tik 2 apklausoje dalyvavę absolventai tęsia studijas kitur, o likusieji (N=32) studijų nebetęsia; daugiausiai iš jų (20) nurodė dirbantys kaip samdomi darbuotojai. Tuo tarpu 5 absolventai dirba laisvai samdomais darbuotojais – Freelancer. Tik 2 absolventai vis dar ieško darbo.</w:t>
      </w:r>
    </w:p>
    <w:p w14:paraId="63E5940F" w14:textId="77777777" w:rsidR="004E0D9A" w:rsidRPr="00FD30F1" w:rsidRDefault="004E0D9A" w:rsidP="004E0D9A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96DEFB8" w14:textId="77777777" w:rsidR="004E0D9A" w:rsidRPr="00FC2F91" w:rsidRDefault="004E0D9A" w:rsidP="004E0D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F91">
        <w:rPr>
          <w:rFonts w:ascii="Times New Roman" w:hAnsi="Times New Roman" w:cs="Times New Roman"/>
          <w:sz w:val="24"/>
          <w:szCs w:val="24"/>
        </w:rPr>
        <w:t>Duomenys parodė, kad baigusieji VVK daugiausiai dirba privačiame sektoriuje ir užima kvalifikuotų specialistų pareigas, tik 1 apklaustasis nurodė dirbantis valstybiniame sektoriuje.</w:t>
      </w:r>
    </w:p>
    <w:p w14:paraId="099251BE" w14:textId="77777777" w:rsidR="004E0D9A" w:rsidRPr="00FD30F1" w:rsidRDefault="004E0D9A" w:rsidP="004E0D9A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D56AF14" w14:textId="77777777" w:rsidR="004E0D9A" w:rsidRPr="00DB4EDC" w:rsidRDefault="004E0D9A" w:rsidP="004E0D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EDC">
        <w:rPr>
          <w:rFonts w:ascii="Times New Roman" w:hAnsi="Times New Roman" w:cs="Times New Roman"/>
          <w:sz w:val="24"/>
          <w:szCs w:val="24"/>
        </w:rPr>
        <w:t>Atskleista, kad 4 apklausoje dalyvav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B4EDC">
        <w:rPr>
          <w:rFonts w:ascii="Times New Roman" w:hAnsi="Times New Roman" w:cs="Times New Roman"/>
          <w:sz w:val="24"/>
          <w:szCs w:val="24"/>
        </w:rPr>
        <w:t xml:space="preserve"> absolvent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DB4EDC">
        <w:rPr>
          <w:rFonts w:ascii="Times New Roman" w:hAnsi="Times New Roman" w:cs="Times New Roman"/>
          <w:sz w:val="24"/>
          <w:szCs w:val="24"/>
        </w:rPr>
        <w:t xml:space="preserve"> gauna 1 000 ir daugiau eurų atlyginimą į rankas. 1 apklausos dalyvis nurodė gaunantis 500 – 700 eurų atlygį į rankas, o 5 absolventai – nuo 700 iki 1 000 eurų į rankas. 1 asmuo nurodė uždirbantis iki 468 eurų į rankas. Vadinasi, didžiąja dalimi Kolegijos absolventai gauna didesnį nei vidutinį mėnesio atlyginimą.</w:t>
      </w:r>
    </w:p>
    <w:p w14:paraId="11876FEE" w14:textId="77777777" w:rsidR="004E0D9A" w:rsidRPr="00FD30F1" w:rsidRDefault="004E0D9A" w:rsidP="004E0D9A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3DDB2E3" w14:textId="77777777" w:rsidR="004E0D9A" w:rsidRPr="00E44F96" w:rsidRDefault="004E0D9A" w:rsidP="004E0D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Didžiąja dalimi, apklaustųjų</w:t>
      </w:r>
      <w:r w:rsidRPr="00E44F96">
        <w:rPr>
          <w:rFonts w:ascii="Times New Roman" w:hAnsi="Times New Roman" w:cs="Times New Roman"/>
          <w:sz w:val="24"/>
          <w:szCs w:val="24"/>
        </w:rPr>
        <w:t xml:space="preserve"> manymu, įgytas išsilavinimas padėjo rasti darbą, tęsti / kelti karjerą ar net pakeisti darbo pobūdį. Keli absolventai nurodė, kad įgytas išsilavinimas neturėjo jokios įtakos jų profesinei karjerai. </w:t>
      </w:r>
    </w:p>
    <w:p w14:paraId="3B24757F" w14:textId="77777777" w:rsidR="004E0D9A" w:rsidRPr="00FD30F1" w:rsidRDefault="004E0D9A" w:rsidP="004E0D9A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0BC6A79" w14:textId="77777777" w:rsidR="004E0D9A" w:rsidRPr="00E44F96" w:rsidRDefault="004E0D9A" w:rsidP="004E0D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F96">
        <w:rPr>
          <w:rFonts w:ascii="Times New Roman" w:hAnsi="Times New Roman" w:cs="Times New Roman"/>
          <w:sz w:val="24"/>
          <w:szCs w:val="24"/>
        </w:rPr>
        <w:t xml:space="preserve">Baigusiųjų Kolegiją atsakymai rodo, kad daugiausiai reikšmingi buvo su praktika susiję dalykai (pvz., </w:t>
      </w:r>
      <w:r w:rsidRPr="00E44F96">
        <w:rPr>
          <w:rFonts w:ascii="Times New Roman" w:hAnsi="Times New Roman" w:cs="Times New Roman"/>
          <w:i/>
          <w:iCs/>
          <w:sz w:val="24"/>
          <w:szCs w:val="24"/>
        </w:rPr>
        <w:t xml:space="preserve">Laisvalaikio ir kultūrinių renginių organizavimas, Verslo vadyba, Teisė, Marketingas, Logistikos verslas, darbas su duomenų bazėmis, programavimo kalbos </w:t>
      </w:r>
      <w:r w:rsidRPr="00E44F96">
        <w:rPr>
          <w:rFonts w:ascii="Times New Roman" w:hAnsi="Times New Roman" w:cs="Times New Roman"/>
          <w:sz w:val="24"/>
          <w:szCs w:val="24"/>
        </w:rPr>
        <w:t xml:space="preserve">ir kt.), o taip pat keletas apklausos dalyvių nurodė manantys, kad naudingi buvo visi studijuojami dalykai, padėję praplėsti savo akiratį, pasaulėžiūrą bei leidę priimti tinkamus sprendimus </w:t>
      </w:r>
      <w:r>
        <w:rPr>
          <w:rFonts w:ascii="Times New Roman" w:hAnsi="Times New Roman" w:cs="Times New Roman"/>
          <w:sz w:val="24"/>
          <w:szCs w:val="24"/>
        </w:rPr>
        <w:t>kasdieninėse</w:t>
      </w:r>
      <w:r w:rsidRPr="00E44F96">
        <w:rPr>
          <w:rFonts w:ascii="Times New Roman" w:hAnsi="Times New Roman" w:cs="Times New Roman"/>
          <w:sz w:val="24"/>
          <w:szCs w:val="24"/>
        </w:rPr>
        <w:t xml:space="preserve"> situacijose.</w:t>
      </w:r>
    </w:p>
    <w:p w14:paraId="574D558F" w14:textId="77777777" w:rsidR="004E0D9A" w:rsidRPr="00FD30F1" w:rsidRDefault="004E0D9A" w:rsidP="004E0D9A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CD8323B" w14:textId="77777777" w:rsidR="004E0D9A" w:rsidRPr="00C831B6" w:rsidRDefault="004E0D9A" w:rsidP="004E0D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C831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Absolventai, teikdami siūlymus, daugiausiai dėmesį telkė ties praktiniais studijuojamų programų realizavimo aspektais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išskirdami </w:t>
      </w:r>
      <w:r w:rsidRPr="00C831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mokomosios medžiagos bei programinės įrangos atnaujinim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 svarbą</w:t>
      </w:r>
      <w:r w:rsidRPr="00C831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dažnesnį apsilankymą realiose kompanijose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pagal jų studijuojamą dalyką</w:t>
      </w:r>
      <w:r w:rsidRPr="00C831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bei gausesnį praktinių užsiėmimų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ir projektinių darbų</w:t>
      </w:r>
      <w:r w:rsidRPr="00C831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organizavimą studijų procese.</w:t>
      </w:r>
    </w:p>
    <w:p w14:paraId="1D0BDA3A" w14:textId="77777777" w:rsidR="004E0D9A" w:rsidRPr="00FD30F1" w:rsidRDefault="004E0D9A" w:rsidP="004E0D9A">
      <w:pPr>
        <w:pStyle w:val="ListParagrap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ABF9FE9" w14:textId="77777777" w:rsidR="004E0D9A" w:rsidRDefault="004E0D9A" w:rsidP="004E0D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53592">
        <w:rPr>
          <w:rFonts w:ascii="Times New Roman" w:hAnsi="Times New Roman" w:cs="Times New Roman"/>
          <w:sz w:val="24"/>
          <w:szCs w:val="24"/>
        </w:rPr>
        <w:t xml:space="preserve">Apklausos dalyvių daugiausiai akcentuotas lankstus administracijos darbas, jauki Kolegijos tiek fizinė, tiek ir emocinė aplinka, o taip pat ir profesionalus dėstytojų kolektyvas. </w:t>
      </w:r>
    </w:p>
    <w:p w14:paraId="54669A5D" w14:textId="77777777" w:rsidR="004E0D9A" w:rsidRPr="00A53592" w:rsidRDefault="004E0D9A" w:rsidP="004E0D9A">
      <w:pPr>
        <w:pStyle w:val="ListParagraph"/>
        <w:rPr>
          <w:rFonts w:ascii="Times New Roman" w:hAnsi="Times New Roman" w:cs="Times New Roman"/>
          <w:b/>
          <w:bCs/>
        </w:rPr>
      </w:pPr>
    </w:p>
    <w:p w14:paraId="7F3CD120" w14:textId="77777777" w:rsidR="004E0D9A" w:rsidRPr="004F331F" w:rsidRDefault="004E0D9A" w:rsidP="004E0D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Duomenys parodė, kad į mokymąsi nuotoliniu būdu COVID-19 laikotarpiu, baigusieji  žiūri, kaip į galimybę taupyti jų laiką. Apklaustieji nurodė, kad kolegija buvo pilnai pasirengusi vykdyti „online“ paskaitas, jos patogesnės, prieinamesnės, tačiau pasiruošti užtrunka. Be to, reikia daugiau dirbti savarankiškai.</w:t>
      </w:r>
    </w:p>
    <w:p w14:paraId="428417C6" w14:textId="77777777" w:rsidR="00227DFB" w:rsidRDefault="00227DFB"/>
    <w:sectPr w:rsidR="00227DFB" w:rsidSect="001E36DD">
      <w:type w:val="continuous"/>
      <w:pgSz w:w="12240" w:h="15840" w:code="1"/>
      <w:pgMar w:top="1361" w:right="1338" w:bottom="278" w:left="1242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4217"/>
    <w:multiLevelType w:val="hybridMultilevel"/>
    <w:tmpl w:val="36142724"/>
    <w:lvl w:ilvl="0" w:tplc="1A2A4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038E"/>
    <w:multiLevelType w:val="hybridMultilevel"/>
    <w:tmpl w:val="0726A774"/>
    <w:lvl w:ilvl="0" w:tplc="A0160070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2316"/>
        </w:tabs>
        <w:ind w:left="2316" w:hanging="360"/>
      </w:pPr>
    </w:lvl>
    <w:lvl w:ilvl="2" w:tplc="04090005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76"/>
        </w:tabs>
        <w:ind w:left="4476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96"/>
        </w:tabs>
        <w:ind w:left="5196" w:hanging="360"/>
      </w:pPr>
    </w:lvl>
    <w:lvl w:ilvl="6" w:tplc="0409000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36"/>
        </w:tabs>
        <w:ind w:left="6636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56"/>
        </w:tabs>
        <w:ind w:left="7356" w:hanging="360"/>
      </w:pPr>
    </w:lvl>
  </w:abstractNum>
  <w:num w:numId="1" w16cid:durableId="1529761881">
    <w:abstractNumId w:val="1"/>
  </w:num>
  <w:num w:numId="2" w16cid:durableId="47618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E6"/>
    <w:rsid w:val="001E36DD"/>
    <w:rsid w:val="00227DFB"/>
    <w:rsid w:val="004E0D9A"/>
    <w:rsid w:val="007771E6"/>
    <w:rsid w:val="00A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CE3C"/>
  <w15:chartTrackingRefBased/>
  <w15:docId w15:val="{DFB87EDF-C5E6-4341-8767-A80530A7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DFB"/>
  </w:style>
  <w:style w:type="paragraph" w:styleId="Heading1">
    <w:name w:val="heading 1"/>
    <w:basedOn w:val="Normal"/>
    <w:next w:val="Normal"/>
    <w:link w:val="Heading1Char"/>
    <w:uiPriority w:val="9"/>
    <w:qFormat/>
    <w:rsid w:val="004E0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E0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2231</Words>
  <Characters>1272</Characters>
  <Application>Microsoft Office Word</Application>
  <DocSecurity>0</DocSecurity>
  <Lines>10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Barkauskas</dc:creator>
  <cp:keywords/>
  <dc:description/>
  <cp:lastModifiedBy>Mantas Barkauskas</cp:lastModifiedBy>
  <cp:revision>3</cp:revision>
  <dcterms:created xsi:type="dcterms:W3CDTF">2022-04-12T13:12:00Z</dcterms:created>
  <dcterms:modified xsi:type="dcterms:W3CDTF">2022-04-12T13:14:00Z</dcterms:modified>
</cp:coreProperties>
</file>